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83F" w:rsidRPr="00A12481" w:rsidRDefault="008B08E0" w:rsidP="008B08E0">
      <w:pPr>
        <w:snapToGrid w:val="0"/>
        <w:jc w:val="center"/>
        <w:rPr>
          <w:rFonts w:ascii="微软雅黑" w:eastAsia="微软雅黑" w:hAnsi="微软雅黑"/>
          <w:color w:val="00CC99"/>
          <w:sz w:val="36"/>
          <w:szCs w:val="36"/>
        </w:rPr>
      </w:pPr>
      <w:r w:rsidRPr="00A12481">
        <w:rPr>
          <w:rFonts w:ascii="微软雅黑" w:eastAsia="微软雅黑" w:hAnsi="微软雅黑" w:hint="eastAsia"/>
          <w:color w:val="00CC99"/>
          <w:sz w:val="36"/>
          <w:szCs w:val="36"/>
        </w:rPr>
        <w:t>进出口通关实务及应对“三查”策略研讨班</w:t>
      </w:r>
    </w:p>
    <w:p w:rsidR="008B08E0" w:rsidRPr="008B08E0" w:rsidRDefault="008B08E0" w:rsidP="008B08E0">
      <w:pPr>
        <w:snapToGrid w:val="0"/>
        <w:jc w:val="center"/>
        <w:rPr>
          <w:rFonts w:ascii="微软雅黑" w:eastAsia="微软雅黑" w:hAnsi="微软雅黑"/>
          <w:sz w:val="32"/>
          <w:szCs w:val="32"/>
        </w:rPr>
      </w:pPr>
    </w:p>
    <w:p w:rsidR="004A583F" w:rsidRPr="004A583F" w:rsidRDefault="004A583F" w:rsidP="004A583F">
      <w:pPr>
        <w:snapToGrid w:val="0"/>
        <w:rPr>
          <w:rFonts w:ascii="微软雅黑" w:eastAsia="微软雅黑" w:hAnsi="微软雅黑"/>
        </w:rPr>
      </w:pPr>
      <w:r w:rsidRPr="00A12481">
        <w:rPr>
          <w:rFonts w:ascii="微软雅黑" w:eastAsia="微软雅黑" w:hAnsi="微软雅黑" w:hint="eastAsia"/>
          <w:color w:val="00CC99"/>
        </w:rPr>
        <w:t>培训费用：</w:t>
      </w:r>
      <w:r w:rsidRPr="004A583F">
        <w:rPr>
          <w:rFonts w:ascii="微软雅黑" w:eastAsia="微软雅黑" w:hAnsi="微软雅黑" w:hint="eastAsia"/>
        </w:rPr>
        <w:t>两天3200元/人（含培训教材、午餐、茶歇、讲义、结业证、合影等）；</w:t>
      </w:r>
    </w:p>
    <w:p w:rsidR="0089727F" w:rsidRDefault="004A583F" w:rsidP="0089727F">
      <w:pPr>
        <w:snapToGrid w:val="0"/>
        <w:rPr>
          <w:rFonts w:ascii="微软雅黑" w:eastAsia="微软雅黑" w:hAnsi="微软雅黑"/>
        </w:rPr>
      </w:pPr>
      <w:r w:rsidRPr="00A12481">
        <w:rPr>
          <w:rFonts w:ascii="微软雅黑" w:eastAsia="微软雅黑" w:hAnsi="微软雅黑" w:hint="eastAsia"/>
          <w:color w:val="00CC99"/>
        </w:rPr>
        <w:t>培训时间：</w:t>
      </w:r>
      <w:r w:rsidR="002C1A2D">
        <w:rPr>
          <w:rFonts w:ascii="微软雅黑" w:eastAsia="微软雅黑" w:hAnsi="微软雅黑"/>
        </w:rPr>
        <w:t xml:space="preserve"> </w:t>
      </w:r>
      <w:r w:rsidR="0089727F">
        <w:rPr>
          <w:rFonts w:ascii="微软雅黑" w:eastAsia="微软雅黑" w:hAnsi="微软雅黑" w:hint="eastAsia"/>
        </w:rPr>
        <w:t>2016年</w:t>
      </w:r>
      <w:r w:rsidR="0089727F" w:rsidRPr="0089727F">
        <w:rPr>
          <w:rFonts w:ascii="微软雅黑" w:eastAsia="微软雅黑" w:hAnsi="微软雅黑" w:hint="eastAsia"/>
        </w:rPr>
        <w:t xml:space="preserve">03月11-12-北京 </w:t>
      </w:r>
      <w:r w:rsidR="0089727F">
        <w:rPr>
          <w:rFonts w:ascii="微软雅黑" w:eastAsia="微软雅黑" w:hAnsi="微软雅黑"/>
        </w:rPr>
        <w:t xml:space="preserve">  </w:t>
      </w:r>
      <w:r w:rsidR="0089727F" w:rsidRPr="0089727F">
        <w:rPr>
          <w:rFonts w:ascii="微软雅黑" w:eastAsia="微软雅黑" w:hAnsi="微软雅黑" w:hint="eastAsia"/>
        </w:rPr>
        <w:t>04月8-9-上海 05</w:t>
      </w:r>
      <w:r w:rsidR="0089727F">
        <w:rPr>
          <w:rFonts w:ascii="微软雅黑" w:eastAsia="微软雅黑" w:hAnsi="微软雅黑"/>
        </w:rPr>
        <w:t xml:space="preserve">  </w:t>
      </w:r>
      <w:r w:rsidR="0089727F" w:rsidRPr="0089727F">
        <w:rPr>
          <w:rFonts w:ascii="微软雅黑" w:eastAsia="微软雅黑" w:hAnsi="微软雅黑" w:hint="eastAsia"/>
        </w:rPr>
        <w:t xml:space="preserve">月21-22-北京 </w:t>
      </w:r>
    </w:p>
    <w:p w:rsidR="00A12481" w:rsidRDefault="0089727F" w:rsidP="0089727F">
      <w:pPr>
        <w:snapToGrid w:val="0"/>
        <w:ind w:firstLineChars="900" w:firstLine="1890"/>
        <w:rPr>
          <w:rFonts w:ascii="微软雅黑" w:eastAsia="微软雅黑" w:hAnsi="微软雅黑"/>
        </w:rPr>
      </w:pPr>
      <w:r w:rsidRPr="0089727F">
        <w:rPr>
          <w:rFonts w:ascii="微软雅黑" w:eastAsia="微软雅黑" w:hAnsi="微软雅黑" w:hint="eastAsia"/>
        </w:rPr>
        <w:t>07月15-16-上海</w:t>
      </w:r>
      <w:r>
        <w:rPr>
          <w:rFonts w:ascii="微软雅黑" w:eastAsia="微软雅黑" w:hAnsi="微软雅黑" w:hint="eastAsia"/>
        </w:rPr>
        <w:t xml:space="preserve">   </w:t>
      </w:r>
      <w:r w:rsidRPr="0089727F">
        <w:rPr>
          <w:rFonts w:ascii="微软雅黑" w:eastAsia="微软雅黑" w:hAnsi="微软雅黑" w:hint="eastAsia"/>
        </w:rPr>
        <w:t>09月21-22-北京</w:t>
      </w:r>
      <w:r>
        <w:rPr>
          <w:rFonts w:ascii="微软雅黑" w:eastAsia="微软雅黑" w:hAnsi="微软雅黑" w:hint="eastAsia"/>
        </w:rPr>
        <w:t xml:space="preserve"> </w:t>
      </w:r>
    </w:p>
    <w:p w:rsidR="004A583F" w:rsidRDefault="004A583F" w:rsidP="00A12481">
      <w:pPr>
        <w:snapToGrid w:val="0"/>
        <w:rPr>
          <w:rFonts w:ascii="微软雅黑" w:eastAsia="微软雅黑" w:hAnsi="微软雅黑"/>
        </w:rPr>
      </w:pPr>
      <w:r w:rsidRPr="00A12481">
        <w:rPr>
          <w:rFonts w:ascii="微软雅黑" w:eastAsia="微软雅黑" w:hAnsi="微软雅黑" w:hint="eastAsia"/>
          <w:color w:val="00CC99"/>
        </w:rPr>
        <w:t>培训对象：</w:t>
      </w:r>
      <w:r w:rsidRPr="004A583F">
        <w:rPr>
          <w:rFonts w:ascii="微软雅黑" w:eastAsia="微软雅黑" w:hAnsi="微软雅黑" w:hint="eastAsia"/>
        </w:rPr>
        <w:t xml:space="preserve"> 企业国际贸易部、采购部、物流部、报关企业、财务人员、报关员、单证员、以及涉外进出口等人员。</w:t>
      </w:r>
    </w:p>
    <w:p w:rsidR="009B43F5" w:rsidRPr="009B43F5" w:rsidRDefault="009B43F5" w:rsidP="00A12481">
      <w:pPr>
        <w:snapToGrid w:val="0"/>
        <w:rPr>
          <w:rFonts w:ascii="微软雅黑" w:eastAsia="微软雅黑" w:hAnsi="微软雅黑"/>
          <w:szCs w:val="21"/>
        </w:rPr>
      </w:pPr>
      <w:r w:rsidRPr="009B43F5">
        <w:rPr>
          <w:rFonts w:ascii="微软雅黑" w:eastAsia="微软雅黑" w:hAnsi="微软雅黑" w:hint="eastAsia"/>
          <w:color w:val="00CC99"/>
        </w:rPr>
        <w:t>主办机构</w:t>
      </w:r>
      <w:r>
        <w:rPr>
          <w:rFonts w:ascii="微软雅黑" w:eastAsia="微软雅黑" w:hAnsi="微软雅黑" w:hint="eastAsia"/>
          <w:szCs w:val="21"/>
        </w:rPr>
        <w:t xml:space="preserve">： 西安世商管理咨询有限公司   </w:t>
      </w:r>
      <w:hyperlink r:id="rId6" w:history="1">
        <w:r>
          <w:rPr>
            <w:rStyle w:val="a3"/>
            <w:rFonts w:ascii="微软雅黑" w:eastAsia="微软雅黑" w:hAnsi="微软雅黑" w:hint="eastAsia"/>
            <w:szCs w:val="21"/>
          </w:rPr>
          <w:t>www.wtt6.com</w:t>
        </w:r>
      </w:hyperlink>
      <w:r>
        <w:rPr>
          <w:rFonts w:ascii="微软雅黑" w:eastAsia="微软雅黑" w:hAnsi="微软雅黑" w:hint="eastAsia"/>
          <w:szCs w:val="21"/>
        </w:rPr>
        <w:t xml:space="preserve"> </w:t>
      </w:r>
    </w:p>
    <w:p w:rsidR="004A583F" w:rsidRPr="00A12481" w:rsidRDefault="004A583F" w:rsidP="004A583F">
      <w:pPr>
        <w:snapToGrid w:val="0"/>
        <w:rPr>
          <w:rFonts w:ascii="微软雅黑" w:eastAsia="微软雅黑" w:hAnsi="微软雅黑"/>
          <w:color w:val="00CC99"/>
        </w:rPr>
      </w:pPr>
      <w:r w:rsidRPr="00A12481">
        <w:rPr>
          <w:rFonts w:ascii="微软雅黑" w:eastAsia="微软雅黑" w:hAnsi="微软雅黑" w:hint="eastAsia"/>
          <w:color w:val="00CC99"/>
        </w:rPr>
        <w:t>第一</w:t>
      </w:r>
      <w:r w:rsidR="00A12481">
        <w:rPr>
          <w:rFonts w:ascii="微软雅黑" w:eastAsia="微软雅黑" w:hAnsi="微软雅黑" w:hint="eastAsia"/>
          <w:color w:val="00CC99"/>
        </w:rPr>
        <w:t>章</w:t>
      </w:r>
      <w:r w:rsidRPr="00A12481">
        <w:rPr>
          <w:rFonts w:ascii="微软雅黑" w:eastAsia="微软雅黑" w:hAnsi="微软雅黑" w:hint="eastAsia"/>
          <w:color w:val="00CC99"/>
        </w:rPr>
        <w:t>-课程内容:《进出口通关技巧与海关“三查”、无纸化通关攻略》</w:t>
      </w:r>
    </w:p>
    <w:p w:rsidR="00A12481" w:rsidRDefault="004A583F" w:rsidP="004A583F">
      <w:pPr>
        <w:snapToGrid w:val="0"/>
        <w:rPr>
          <w:rFonts w:ascii="微软雅黑" w:eastAsia="微软雅黑" w:hAnsi="微软雅黑"/>
        </w:rPr>
      </w:pPr>
      <w:r w:rsidRPr="004A583F">
        <w:rPr>
          <w:rFonts w:ascii="微软雅黑" w:eastAsia="微软雅黑" w:hAnsi="微软雅黑" w:hint="eastAsia"/>
        </w:rPr>
        <w:t>课程背景</w:t>
      </w:r>
      <w:r w:rsidR="00A12481">
        <w:rPr>
          <w:rFonts w:ascii="微软雅黑" w:eastAsia="微软雅黑" w:hAnsi="微软雅黑" w:hint="eastAsia"/>
        </w:rPr>
        <w:t>:</w:t>
      </w:r>
    </w:p>
    <w:p w:rsidR="004A583F" w:rsidRPr="004A583F" w:rsidRDefault="00A12481" w:rsidP="00A12481">
      <w:pPr>
        <w:snapToGrid w:val="0"/>
        <w:ind w:firstLineChars="200" w:firstLine="420"/>
        <w:rPr>
          <w:rFonts w:ascii="微软雅黑" w:eastAsia="微软雅黑" w:hAnsi="微软雅黑"/>
        </w:rPr>
      </w:pPr>
      <w:r>
        <w:rPr>
          <w:rFonts w:ascii="微软雅黑" w:eastAsia="微软雅黑" w:hAnsi="微软雅黑" w:hint="eastAsia"/>
        </w:rPr>
        <w:t>2014年</w:t>
      </w:r>
      <w:r w:rsidR="004A583F" w:rsidRPr="004A583F">
        <w:rPr>
          <w:rFonts w:ascii="微软雅黑" w:eastAsia="微软雅黑" w:hAnsi="微软雅黑" w:hint="eastAsia"/>
        </w:rPr>
        <w:t>4月海关总署公告：5月1日起在全国42个海关开始实施“通关作业无纸化”第二试行期计划。</w:t>
      </w:r>
    </w:p>
    <w:p w:rsidR="00A12481" w:rsidRDefault="004A583F" w:rsidP="004A583F">
      <w:pPr>
        <w:snapToGrid w:val="0"/>
        <w:rPr>
          <w:rFonts w:ascii="微软雅黑" w:eastAsia="微软雅黑" w:hAnsi="微软雅黑"/>
        </w:rPr>
      </w:pPr>
      <w:r w:rsidRPr="004A583F">
        <w:rPr>
          <w:rFonts w:ascii="微软雅黑" w:eastAsia="微软雅黑" w:hAnsi="微软雅黑" w:hint="eastAsia"/>
        </w:rPr>
        <w:t>培训收益:</w:t>
      </w:r>
    </w:p>
    <w:p w:rsidR="004A583F" w:rsidRPr="004A583F" w:rsidRDefault="004A583F" w:rsidP="00A12481">
      <w:pPr>
        <w:snapToGrid w:val="0"/>
        <w:ind w:firstLineChars="200" w:firstLine="420"/>
        <w:rPr>
          <w:rFonts w:ascii="微软雅黑" w:eastAsia="微软雅黑" w:hAnsi="微软雅黑"/>
        </w:rPr>
      </w:pPr>
      <w:r w:rsidRPr="004A583F">
        <w:rPr>
          <w:rFonts w:ascii="微软雅黑" w:eastAsia="微软雅黑" w:hAnsi="微软雅黑" w:hint="eastAsia"/>
        </w:rPr>
        <w:t>为使进出口企业、报关企业高层管理人员和操作人员在关务管理和“通关作业无纸化”实践中能更好地规避和降低企业在海关“三查”中的风险，把握合法应对海关“三查”尺度，过滤出本企业在通关过程中无意流失的利润，使企业保持最大盈利和社会信义，现特邀请海关实务派知名人士，海关风险管理始创者，首次与进出口企业、报关企业共同现场案例解密“通关作业无纸化”试行期间海关“十大”新举措和“通关作业无纸化”背后的海关“三查”目标、操作方法，同时提供给大家合法规避海关“三查”风险的操作技巧。</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本课程预期解决了受训者以下问题：</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1、“通关作业无纸化”试行期间海关“十大”新举措是什么？</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2、货物跨越关境的充要和必要的条件是什么？</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3、进出口企业在通关过程中应当具有的权利是什么？</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4、进出口企业在通关过程中利用权利的技巧是什么？</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5、进出口企业在通关过程中具有的权利与利润合法保护的相互作用是什么？</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6、什么是海关“三查”和海关的具体操作程序？</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7、海关稽查重点目标确立的原则是什么？</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8、海关保税核查重点目标确立的原则是什么？</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9、海关调查、侦查重点目标确立的原则是什么？</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10、海关“三查”工作及监管工作的内部潜则是什么？</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11、如何应对海关稽查人员？</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12、如何应对海关保税核查人员？</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13、如何应对海关调查、侦查人员？</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14、《海关法》是如何认定走私行为的？</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课程大纲</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第一节</w:t>
      </w:r>
      <w:r w:rsidR="00A12481">
        <w:rPr>
          <w:rFonts w:ascii="微软雅黑" w:eastAsia="微软雅黑" w:hAnsi="微软雅黑" w:hint="eastAsia"/>
        </w:rPr>
        <w:t xml:space="preserve"> </w:t>
      </w:r>
      <w:r w:rsidRPr="004A583F">
        <w:rPr>
          <w:rFonts w:ascii="微软雅黑" w:eastAsia="微软雅黑" w:hAnsi="微软雅黑" w:hint="eastAsia"/>
        </w:rPr>
        <w:t>海关对于进出口货物及活动相关人的监管路径</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第二节</w:t>
      </w:r>
      <w:r w:rsidR="00A12481">
        <w:rPr>
          <w:rFonts w:ascii="微软雅黑" w:eastAsia="微软雅黑" w:hAnsi="微软雅黑" w:hint="eastAsia"/>
        </w:rPr>
        <w:t xml:space="preserve"> </w:t>
      </w:r>
      <w:r w:rsidRPr="004A583F">
        <w:rPr>
          <w:rFonts w:ascii="微软雅黑" w:eastAsia="微软雅黑" w:hAnsi="微软雅黑" w:hint="eastAsia"/>
        </w:rPr>
        <w:t>海关通关作业无纸化简介</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lastRenderedPageBreak/>
        <w:t>第三节 报关人在通关过程中与海关“三查”有关的部分权利</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第四节“通关作业无纸化”试验阶段海关“十大”新措揭秘（不公开）</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第五节 海关三查目标 —— 财务-账册、库管-实务及海关“三查”有关的海关内部浅则（不公开）</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第六节 应对海关“三查”人员的公关技巧（不公开）</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第七节 与“三查”有关的关务问题释疑</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1、委托人在委托报关企业办理报关手续时，应当向报关企业提供所委托报关事项的真实内容包括哪些？</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2、申报后报关单丢失，海关能否补发？</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3、报关人补充申报的期限是多少？是14天吗？</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4、海关对《补充申报单》的填报有哪些要求？补充申报的《补充申报单》包括哪些类型？</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5、报关单申报的商品编码与许可证件商品编码不一致时应当如何处理？</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6、出口货物因某些原因退运入境，如何办理报关手续？</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7、已经办结出口退税，已核销的出口货物退运进境需要提供哪些报关材料？。</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8、同一种商品，在不同的海关申报时，归人不同的税号怎么办？</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9、同一种商品，同一海关，电子审单部门和现场海关对于税号认定不统一时怎么办？</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10、同一种商品，出口国（地区）与中国海关对于税号认定不统一时怎么办？</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11、进口货物海关完税价格中包括哪些费用？</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12、出口货物海关完税价格中包括哪些费用？</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13、海关计征关税时，是按照该货物征税日的当日汇率中间比价，采用四舍五入法计算至人民币分的吗？</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14、进出口货物纳税义务人遗失《税款缴款书》，是否可以向海关申请补发吗？</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15、我们认为海关查验人员作的《海关进出境货物查验记录》不完整或者不真实时，可以拒签吗？</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16、海关查验结果为“正常”的货物，海关就应当立即放行该货物吗？</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17、海关在什么时间签发货物出口报关单退税证明联？</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18、企业如遗失海关签发的出口报关单退税证明联，如何补救？</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19、海关稽查人员突然来我们公司进行稽查，是不是公司出现问题了？</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20、海关对被稽查人实施稽查的内容包括哪些？</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21、我单位收到《海关稽查通知》后应当做好哪些准备工作？</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22、我单位在海关稽查结束后，收到了《海关稽查报告》的磋商文件，我们应当怎么办？</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23、经海关稽查后，发现企业存在可能违法违规情事时，在海关查实之前，为不影响企业正常生产经营，被稽查人可以按照有关规定向海关提出担保申请吗？</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24、海关查阅、复制被稽查人的有关资料或者进入被稽查人的生产经营场所、货物存放场所检查时，被稽查人的有关负责人或者其指定的代表必须到场吗？</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25、已经海关稽查的单位还必须接受海关的保税核查吗？</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26、海关保税核查与稽查所实施的对象相同吗？</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27、公司有关人员被海关缉私警察带回缉私局谈话，就是问题严重，发生了违法行为了吗？</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lastRenderedPageBreak/>
        <w:t>28、什么是“走私罪”？</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29、常见的走私方式是什么？</w:t>
      </w:r>
    </w:p>
    <w:p w:rsidR="004A583F" w:rsidRPr="008B08E0" w:rsidRDefault="004A583F" w:rsidP="004A583F">
      <w:pPr>
        <w:snapToGrid w:val="0"/>
        <w:rPr>
          <w:rFonts w:ascii="微软雅黑" w:eastAsia="微软雅黑" w:hAnsi="微软雅黑"/>
        </w:rPr>
      </w:pPr>
    </w:p>
    <w:p w:rsidR="004A583F" w:rsidRPr="00A12481" w:rsidRDefault="004A583F" w:rsidP="004A583F">
      <w:pPr>
        <w:snapToGrid w:val="0"/>
        <w:rPr>
          <w:rFonts w:ascii="微软雅黑" w:eastAsia="微软雅黑" w:hAnsi="微软雅黑"/>
          <w:color w:val="00CC99"/>
        </w:rPr>
      </w:pPr>
      <w:r w:rsidRPr="00A12481">
        <w:rPr>
          <w:rFonts w:ascii="微软雅黑" w:eastAsia="微软雅黑" w:hAnsi="微软雅黑" w:hint="eastAsia"/>
          <w:color w:val="00CC99"/>
        </w:rPr>
        <w:t>第二</w:t>
      </w:r>
      <w:r w:rsidR="00A12481">
        <w:rPr>
          <w:rFonts w:ascii="微软雅黑" w:eastAsia="微软雅黑" w:hAnsi="微软雅黑" w:hint="eastAsia"/>
          <w:color w:val="00CC99"/>
        </w:rPr>
        <w:t>章</w:t>
      </w:r>
      <w:r w:rsidRPr="00A12481">
        <w:rPr>
          <w:rFonts w:ascii="微软雅黑" w:eastAsia="微软雅黑" w:hAnsi="微软雅黑" w:hint="eastAsia"/>
          <w:color w:val="00CC99"/>
        </w:rPr>
        <w:t>-课程内容:《进出口关税调整范围及合法避税增加出口退税技巧》</w:t>
      </w:r>
    </w:p>
    <w:p w:rsidR="00A12481" w:rsidRDefault="004A583F" w:rsidP="004A583F">
      <w:pPr>
        <w:snapToGrid w:val="0"/>
        <w:rPr>
          <w:rFonts w:ascii="微软雅黑" w:eastAsia="微软雅黑" w:hAnsi="微软雅黑"/>
        </w:rPr>
      </w:pPr>
      <w:r w:rsidRPr="004A583F">
        <w:rPr>
          <w:rFonts w:ascii="微软雅黑" w:eastAsia="微软雅黑" w:hAnsi="微软雅黑" w:hint="eastAsia"/>
        </w:rPr>
        <w:t>课程背景:</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为了达到尽快缩短《2013年税则》调整后的磨合期，加快进出口企业通关速度，使进出口企业最大限度地降低关税成本，帮助进出口企业调整经营方向的目的，现特邀请海关业务培训专家，为你解读2013年进出口关税的调整范围及如何利用商品归类技巧，实现合法避税，增加出口退税的目的。</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实用性：全面讲解《2013年税则》修改目的和范围，重点推介授课人自行编著的进出口货物《简易归类办法》，指导进出口企业怎样利用商品归类实现合法避税，增加出口退税的技巧。</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操作性：以真实案例解析课程内容，以授课人实际监管经验解答进出口企业关务难题。</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准确性：课程全部按照目前海关所执行的法律法规设置。</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特殊性：由在海关具有多年实践和培训经验的专家授课。</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课程收益: </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1、2013年进出口关税的调整范围</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2、《协调制度》目录的基本结构和简易商品归类技巧</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3、如何解决好进出口企业与海关之间对调整后的商品编码的共同认知问题</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4、怎样利用海关对商品归类的行政裁定规避通关风险</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5、怎样利用“报验状态”合法避税及增加出口退税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6、怎样利用“商品属性”合法避税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7、怎样利用“专用零件”合法避税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8、怎样利用“加工程度”合法避税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9、怎样利用“原产地标准”合法避税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课程大纲</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第一节、2013年进出口税则调整范围</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2013年进出口关税修改原则</w:t>
      </w:r>
    </w:p>
    <w:p w:rsidR="004A583F" w:rsidRPr="004A583F" w:rsidRDefault="00A12481" w:rsidP="004A583F">
      <w:pPr>
        <w:snapToGrid w:val="0"/>
        <w:rPr>
          <w:rFonts w:ascii="微软雅黑" w:eastAsia="微软雅黑" w:hAnsi="微软雅黑"/>
        </w:rPr>
      </w:pPr>
      <w:r>
        <w:rPr>
          <w:rFonts w:ascii="微软雅黑" w:eastAsia="微软雅黑" w:hAnsi="微软雅黑" w:hint="eastAsia"/>
        </w:rPr>
        <w:t>一、</w:t>
      </w:r>
      <w:r w:rsidR="004A583F" w:rsidRPr="004A583F">
        <w:rPr>
          <w:rFonts w:ascii="微软雅黑" w:eastAsia="微软雅黑" w:hAnsi="微软雅黑" w:hint="eastAsia"/>
        </w:rPr>
        <w:t>我国经济发展前景</w:t>
      </w:r>
    </w:p>
    <w:p w:rsidR="004A583F" w:rsidRPr="004A583F" w:rsidRDefault="00A12481" w:rsidP="004A583F">
      <w:pPr>
        <w:snapToGrid w:val="0"/>
        <w:rPr>
          <w:rFonts w:ascii="微软雅黑" w:eastAsia="微软雅黑" w:hAnsi="微软雅黑"/>
        </w:rPr>
      </w:pPr>
      <w:r>
        <w:rPr>
          <w:rFonts w:ascii="微软雅黑" w:eastAsia="微软雅黑" w:hAnsi="微软雅黑" w:hint="eastAsia"/>
        </w:rPr>
        <w:t>二、</w:t>
      </w:r>
      <w:r w:rsidR="004A583F" w:rsidRPr="004A583F">
        <w:rPr>
          <w:rFonts w:ascii="微软雅黑" w:eastAsia="微软雅黑" w:hAnsi="微软雅黑" w:hint="eastAsia"/>
        </w:rPr>
        <w:t>2013年关税修改原则</w:t>
      </w:r>
    </w:p>
    <w:p w:rsidR="004A583F" w:rsidRPr="004A583F" w:rsidRDefault="00A12481" w:rsidP="004A583F">
      <w:pPr>
        <w:snapToGrid w:val="0"/>
        <w:rPr>
          <w:rFonts w:ascii="微软雅黑" w:eastAsia="微软雅黑" w:hAnsi="微软雅黑"/>
        </w:rPr>
      </w:pPr>
      <w:r>
        <w:rPr>
          <w:rFonts w:ascii="微软雅黑" w:eastAsia="微软雅黑" w:hAnsi="微软雅黑" w:hint="eastAsia"/>
        </w:rPr>
        <w:t>三、</w:t>
      </w:r>
      <w:r w:rsidR="004A583F" w:rsidRPr="004A583F">
        <w:rPr>
          <w:rFonts w:ascii="微软雅黑" w:eastAsia="微软雅黑" w:hAnsi="微软雅黑" w:hint="eastAsia"/>
        </w:rPr>
        <w:t>2013年进口关税</w:t>
      </w:r>
    </w:p>
    <w:p w:rsidR="004A583F" w:rsidRPr="004A583F" w:rsidRDefault="00A12481" w:rsidP="004A583F">
      <w:pPr>
        <w:snapToGrid w:val="0"/>
        <w:rPr>
          <w:rFonts w:ascii="微软雅黑" w:eastAsia="微软雅黑" w:hAnsi="微软雅黑"/>
        </w:rPr>
      </w:pPr>
      <w:r>
        <w:rPr>
          <w:rFonts w:ascii="微软雅黑" w:eastAsia="微软雅黑" w:hAnsi="微软雅黑"/>
        </w:rPr>
        <w:t>A:</w:t>
      </w:r>
      <w:r w:rsidR="004A583F" w:rsidRPr="004A583F">
        <w:rPr>
          <w:rFonts w:ascii="微软雅黑" w:eastAsia="微软雅黑" w:hAnsi="微软雅黑" w:hint="eastAsia"/>
        </w:rPr>
        <w:t xml:space="preserve">最惠国税率： </w:t>
      </w:r>
      <w:r>
        <w:rPr>
          <w:rFonts w:ascii="微软雅黑" w:eastAsia="微软雅黑" w:hAnsi="微软雅黑" w:hint="eastAsia"/>
        </w:rPr>
        <w:t>B</w:t>
      </w:r>
      <w:r>
        <w:rPr>
          <w:rFonts w:ascii="微软雅黑" w:eastAsia="微软雅黑" w:hAnsi="微软雅黑"/>
        </w:rPr>
        <w:t>:</w:t>
      </w:r>
      <w:r w:rsidR="004A583F" w:rsidRPr="004A583F">
        <w:rPr>
          <w:rFonts w:ascii="微软雅黑" w:eastAsia="微软雅黑" w:hAnsi="微软雅黑" w:hint="eastAsia"/>
        </w:rPr>
        <w:t>暂定税率：</w:t>
      </w:r>
      <w:r>
        <w:rPr>
          <w:rFonts w:ascii="微软雅黑" w:eastAsia="微软雅黑" w:hAnsi="微软雅黑" w:hint="eastAsia"/>
        </w:rPr>
        <w:t>C</w:t>
      </w:r>
      <w:r>
        <w:rPr>
          <w:rFonts w:ascii="微软雅黑" w:eastAsia="微软雅黑" w:hAnsi="微软雅黑"/>
        </w:rPr>
        <w:t>:</w:t>
      </w:r>
      <w:r w:rsidR="004A583F" w:rsidRPr="004A583F">
        <w:rPr>
          <w:rFonts w:ascii="微软雅黑" w:eastAsia="微软雅黑" w:hAnsi="微软雅黑" w:hint="eastAsia"/>
        </w:rPr>
        <w:t>协定税率：</w:t>
      </w:r>
      <w:r>
        <w:rPr>
          <w:rFonts w:ascii="微软雅黑" w:eastAsia="微软雅黑" w:hAnsi="微软雅黑"/>
        </w:rPr>
        <w:t>D:</w:t>
      </w:r>
      <w:r w:rsidR="004A583F" w:rsidRPr="004A583F">
        <w:rPr>
          <w:rFonts w:ascii="微软雅黑" w:eastAsia="微软雅黑" w:hAnsi="微软雅黑" w:hint="eastAsia"/>
        </w:rPr>
        <w:t>特惠税率：</w:t>
      </w:r>
      <w:r>
        <w:rPr>
          <w:rFonts w:ascii="微软雅黑" w:eastAsia="微软雅黑" w:hAnsi="微软雅黑"/>
        </w:rPr>
        <w:t>E:</w:t>
      </w:r>
      <w:r w:rsidR="004A583F" w:rsidRPr="004A583F">
        <w:rPr>
          <w:rFonts w:ascii="微软雅黑" w:eastAsia="微软雅黑" w:hAnsi="微软雅黑" w:hint="eastAsia"/>
        </w:rPr>
        <w:t>普通税率：</w:t>
      </w:r>
    </w:p>
    <w:p w:rsidR="004A583F" w:rsidRPr="004A583F" w:rsidRDefault="00A12481" w:rsidP="004A583F">
      <w:pPr>
        <w:snapToGrid w:val="0"/>
        <w:rPr>
          <w:rFonts w:ascii="微软雅黑" w:eastAsia="微软雅黑" w:hAnsi="微软雅黑"/>
        </w:rPr>
      </w:pPr>
      <w:r>
        <w:rPr>
          <w:rFonts w:ascii="微软雅黑" w:eastAsia="微软雅黑" w:hAnsi="微软雅黑" w:hint="eastAsia"/>
        </w:rPr>
        <w:t>四</w:t>
      </w:r>
      <w:r w:rsidR="004A583F" w:rsidRPr="004A583F">
        <w:rPr>
          <w:rFonts w:ascii="微软雅黑" w:eastAsia="微软雅黑" w:hAnsi="微软雅黑" w:hint="eastAsia"/>
        </w:rPr>
        <w:t>、2013年出口税率</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(一)出口税率；</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(二)对铬铁等部分出口商品税率。</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第二节 商品归类技巧</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一、如何解决好进出口企业与海关之间对商品共同认知的问题</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（一）充分理解海关总署关税司编制的“《协调制度》培训教材”中的有关商品知识。</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lastRenderedPageBreak/>
        <w:t xml:space="preserve"> （二）归类实例</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二、《协调制度》目录与注释结构</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（一）《协调制度》目录结构</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（二）《协调制度》注释结构</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（三）《协调制度》货品归类6大原则</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第三节 进出口商品简易归类方法</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简易归类方法口诀：</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有列名要归列名；</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没有列名归用途；</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没有用途归成分；</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没有成分归类别；</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不同成分比多少；</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相同成分要从后；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丝、毛、棉、麻、长、短涤；</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人造纤维从后级。</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一、列名优先原则：有列名要归列名</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二、没有列名归用途</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三、没有用途归成分</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四、没有成分归类别</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第四节 利用商品归类合法避税增加出口退税方法</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一、无法逾越的商品归类“有列名归列名”</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二、利用“专用零件”与“通用零件”合法避税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三、利用加工深度合法避税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四、利用海关目前“报验状态”的规定合并、拆散货物进口状态合法避税、增加出口退税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五、利用原产地规则合法避税</w:t>
      </w:r>
    </w:p>
    <w:p w:rsidR="00A12481" w:rsidRDefault="004A583F" w:rsidP="004A583F">
      <w:pPr>
        <w:snapToGrid w:val="0"/>
        <w:rPr>
          <w:rFonts w:ascii="微软雅黑" w:eastAsia="微软雅黑" w:hAnsi="微软雅黑"/>
        </w:rPr>
      </w:pPr>
      <w:r w:rsidRPr="004A583F">
        <w:rPr>
          <w:rFonts w:ascii="微软雅黑" w:eastAsia="微软雅黑" w:hAnsi="微软雅黑" w:hint="eastAsia"/>
        </w:rPr>
        <w:t>第五节 商品归类救济方法</w:t>
      </w:r>
    </w:p>
    <w:p w:rsidR="004A583F" w:rsidRPr="004A583F" w:rsidRDefault="00A12481" w:rsidP="004A583F">
      <w:pPr>
        <w:snapToGrid w:val="0"/>
        <w:rPr>
          <w:rFonts w:ascii="微软雅黑" w:eastAsia="微软雅黑" w:hAnsi="微软雅黑"/>
        </w:rPr>
      </w:pPr>
      <w:r>
        <w:rPr>
          <w:rFonts w:ascii="微软雅黑" w:eastAsia="微软雅黑" w:hAnsi="微软雅黑" w:hint="eastAsia"/>
        </w:rPr>
        <w:t>一、</w:t>
      </w:r>
      <w:r w:rsidR="004A583F" w:rsidRPr="004A583F">
        <w:rPr>
          <w:rFonts w:ascii="微软雅黑" w:eastAsia="微软雅黑" w:hAnsi="微软雅黑" w:hint="eastAsia"/>
        </w:rPr>
        <w:t>进出口商品归类修改救济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二、进出口商品预归类救济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三、海关行政裁定救济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四、海关行政申诉救济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五、行政复议与诉讼救济</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六、海关事务担保救济</w:t>
      </w:r>
    </w:p>
    <w:p w:rsidR="004A583F" w:rsidRPr="00A12481" w:rsidRDefault="004A583F" w:rsidP="004A583F">
      <w:pPr>
        <w:snapToGrid w:val="0"/>
        <w:rPr>
          <w:rFonts w:ascii="微软雅黑" w:eastAsia="微软雅黑" w:hAnsi="微软雅黑"/>
          <w:color w:val="00CC99"/>
        </w:rPr>
      </w:pPr>
      <w:r w:rsidRPr="00A12481">
        <w:rPr>
          <w:rFonts w:ascii="微软雅黑" w:eastAsia="微软雅黑" w:hAnsi="微软雅黑" w:hint="eastAsia"/>
          <w:color w:val="00CC99"/>
        </w:rPr>
        <w:t>专家:赵宏老师</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海关业务培训专家、通关实务专家、商品归类实务专家</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海关总署《报关员资格全国统一考试教材》编委</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中国海关出版社、《中国海关》杂志特约撰稿人</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舶联（北京）国际货运代理有限公司海关事务高级法律顾问</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海关风险管理始创人</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lastRenderedPageBreak/>
        <w:t xml:space="preserve"> 进出口企业内训、报关员资格考试资深培训人士。全国经其</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培训人员达9万余名。</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其在海关主要从事对进出口货物监管、综合、调查、情报、海关政策法规研究及对北京关区的报关企业和报关员的管理、培训及考核工作。</w:t>
      </w:r>
    </w:p>
    <w:p w:rsidR="004A583F" w:rsidRPr="004A583F" w:rsidRDefault="004A583F" w:rsidP="004A583F">
      <w:pPr>
        <w:snapToGrid w:val="0"/>
        <w:rPr>
          <w:rFonts w:ascii="微软雅黑" w:eastAsia="微软雅黑" w:hAnsi="微软雅黑"/>
        </w:rPr>
      </w:pPr>
      <w:r w:rsidRPr="004A583F">
        <w:rPr>
          <w:rFonts w:ascii="微软雅黑" w:eastAsia="微软雅黑" w:hAnsi="微软雅黑" w:hint="eastAsia"/>
        </w:rPr>
        <w:t xml:space="preserve"> 多年来，应海关总署机关服务局培训学校、中国企业家协会、中国口岸协会、北京电子口岸、浙江电子口岸、南京电子口岸、河北创业创新协会、国际货代协会、清华继续教育学院等单位之邀，在北京、天津、上海、重庆、哈尔滨、长春、沈阳、广州、昆明、南京、西安、杭州、珠海、厦门、青岛、塘沽、二连浩特、日照、京唐港等地区为报关员资格考试培训面授及远程授课；为进出口企业进行海关通关业务培训、咨询及法律服务；为北京市朝阳区、二连浩特市、苏州市、河北廊坊市、京唐港等市政府、企业进行境外投资方案及招商策划；新专利产品市场开发策划及法律服务等。先后经其培训的考生及有关人员多达9万余名。</w:t>
      </w:r>
    </w:p>
    <w:p w:rsidR="00DA3D54" w:rsidRDefault="00DA3D54" w:rsidP="00DA3D54">
      <w:pPr>
        <w:widowControl/>
        <w:adjustRightInd w:val="0"/>
        <w:snapToGrid w:val="0"/>
        <w:spacing w:line="340" w:lineRule="exact"/>
        <w:jc w:val="center"/>
        <w:rPr>
          <w:rFonts w:ascii="微软雅黑" w:eastAsia="微软雅黑" w:hAnsi="微软雅黑"/>
          <w:b/>
          <w:color w:val="000000" w:themeColor="text1"/>
          <w:w w:val="110"/>
          <w:kern w:val="0"/>
          <w:sz w:val="24"/>
          <w:szCs w:val="24"/>
        </w:rPr>
      </w:pPr>
      <w:r>
        <w:rPr>
          <w:rFonts w:ascii="微软雅黑" w:eastAsia="微软雅黑" w:hAnsi="微软雅黑" w:hint="eastAsia"/>
          <w:b/>
          <w:color w:val="000000" w:themeColor="text1"/>
          <w:w w:val="110"/>
          <w:kern w:val="0"/>
          <w:sz w:val="24"/>
          <w:szCs w:val="24"/>
        </w:rPr>
        <w:t>报 名 回 执 表</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91"/>
        <w:gridCol w:w="1133"/>
        <w:gridCol w:w="529"/>
        <w:gridCol w:w="38"/>
        <w:gridCol w:w="1262"/>
        <w:gridCol w:w="33"/>
        <w:gridCol w:w="1823"/>
        <w:gridCol w:w="328"/>
        <w:gridCol w:w="1214"/>
        <w:gridCol w:w="1762"/>
      </w:tblGrid>
      <w:tr w:rsidR="00DA3D54" w:rsidTr="00DA3D54">
        <w:trPr>
          <w:trHeight w:val="953"/>
          <w:jc w:val="center"/>
        </w:trPr>
        <w:tc>
          <w:tcPr>
            <w:tcW w:w="9113" w:type="dxa"/>
            <w:gridSpan w:val="10"/>
            <w:tcBorders>
              <w:top w:val="single" w:sz="4" w:space="0" w:color="auto"/>
              <w:left w:val="single" w:sz="4" w:space="0" w:color="auto"/>
              <w:bottom w:val="single" w:sz="4" w:space="0" w:color="auto"/>
              <w:right w:val="single" w:sz="4" w:space="0" w:color="auto"/>
            </w:tcBorders>
            <w:tcMar>
              <w:top w:w="227" w:type="dxa"/>
              <w:left w:w="113" w:type="dxa"/>
              <w:bottom w:w="170" w:type="dxa"/>
              <w:right w:w="113" w:type="dxa"/>
            </w:tcMar>
            <w:vAlign w:val="center"/>
            <w:hideMark/>
          </w:tcPr>
          <w:p w:rsidR="00DA3D54" w:rsidRDefault="00DA3D54">
            <w:pPr>
              <w:spacing w:line="340" w:lineRule="exact"/>
              <w:rPr>
                <w:rFonts w:ascii="微软雅黑" w:eastAsia="微软雅黑" w:hAnsi="微软雅黑" w:cs="Arial"/>
                <w:color w:val="000000" w:themeColor="text1"/>
                <w:kern w:val="0"/>
                <w:szCs w:val="21"/>
              </w:rPr>
            </w:pPr>
            <w:r>
              <w:rPr>
                <w:rFonts w:ascii="微软雅黑" w:eastAsia="微软雅黑" w:hAnsi="微软雅黑" w:hint="eastAsia"/>
                <w:b/>
                <w:color w:val="000000" w:themeColor="text1"/>
                <w:kern w:val="0"/>
                <w:szCs w:val="21"/>
              </w:rPr>
              <w:t>报名回执</w:t>
            </w:r>
            <w:r>
              <w:rPr>
                <w:rFonts w:ascii="微软雅黑" w:eastAsia="微软雅黑" w:hAnsi="微软雅黑" w:hint="eastAsia"/>
                <w:color w:val="000000" w:themeColor="text1"/>
                <w:kern w:val="0"/>
                <w:szCs w:val="21"/>
              </w:rPr>
              <w:t xml:space="preserve">请发到：wtt@wtt6.com 或传真至: </w:t>
            </w:r>
            <w:r>
              <w:rPr>
                <w:rFonts w:ascii="微软雅黑" w:eastAsia="微软雅黑" w:hAnsi="微软雅黑" w:cs="Arial" w:hint="eastAsia"/>
                <w:color w:val="000000" w:themeColor="text1"/>
                <w:kern w:val="0"/>
                <w:szCs w:val="21"/>
              </w:rPr>
              <w:t>010-58948998   会务组：180 9218 6066 李悦</w:t>
            </w:r>
          </w:p>
          <w:p w:rsidR="00DA3D54" w:rsidRDefault="00DA3D54">
            <w:pPr>
              <w:spacing w:line="340" w:lineRule="exact"/>
              <w:ind w:leftChars="200" w:left="420"/>
              <w:rPr>
                <w:rFonts w:ascii="微软雅黑" w:eastAsia="微软雅黑" w:hAnsi="微软雅黑" w:cs="Arial"/>
                <w:b/>
                <w:bCs/>
                <w:color w:val="000000" w:themeColor="text1"/>
                <w:kern w:val="0"/>
                <w:szCs w:val="21"/>
              </w:rPr>
            </w:pPr>
            <w:r>
              <w:rPr>
                <w:rFonts w:ascii="微软雅黑" w:eastAsia="微软雅黑" w:hAnsi="微软雅黑" w:hint="eastAsia"/>
                <w:color w:val="000000" w:themeColor="text1"/>
                <w:kern w:val="0"/>
                <w:szCs w:val="21"/>
              </w:rPr>
              <w:t>我单位共 ___ 人确定报名参加201</w:t>
            </w:r>
            <w:r w:rsidR="0089727F">
              <w:rPr>
                <w:rFonts w:ascii="微软雅黑" w:eastAsia="微软雅黑" w:hAnsi="微软雅黑" w:hint="eastAsia"/>
                <w:color w:val="000000" w:themeColor="text1"/>
                <w:kern w:val="0"/>
                <w:szCs w:val="21"/>
              </w:rPr>
              <w:t>6</w:t>
            </w:r>
            <w:r>
              <w:rPr>
                <w:rFonts w:ascii="微软雅黑" w:eastAsia="微软雅黑" w:hAnsi="微软雅黑" w:hint="eastAsia"/>
                <w:color w:val="000000" w:themeColor="text1"/>
                <w:kern w:val="0"/>
                <w:szCs w:val="21"/>
              </w:rPr>
              <w:t>年__月_ _ 日在 __   _举办的               培训班。</w:t>
            </w:r>
          </w:p>
        </w:tc>
      </w:tr>
      <w:tr w:rsidR="00DA3D54" w:rsidTr="00DA3D54">
        <w:trPr>
          <w:trHeight w:val="371"/>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cs="Times New Roman"/>
                <w:color w:val="000000" w:themeColor="text1"/>
                <w:kern w:val="0"/>
                <w:szCs w:val="21"/>
              </w:rPr>
            </w:pPr>
            <w:r>
              <w:rPr>
                <w:rFonts w:ascii="微软雅黑" w:eastAsia="微软雅黑" w:hAnsi="微软雅黑" w:hint="eastAsia"/>
                <w:color w:val="000000" w:themeColor="text1"/>
                <w:kern w:val="0"/>
                <w:szCs w:val="21"/>
              </w:rPr>
              <w:t>单位名称</w:t>
            </w:r>
          </w:p>
        </w:tc>
        <w:tc>
          <w:tcPr>
            <w:tcW w:w="8122" w:type="dxa"/>
            <w:gridSpan w:val="9"/>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 xml:space="preserve"> </w:t>
            </w:r>
          </w:p>
        </w:tc>
      </w:tr>
      <w:tr w:rsidR="00DA3D54" w:rsidTr="00DA3D54">
        <w:trPr>
          <w:trHeight w:val="399"/>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联系人</w:t>
            </w:r>
          </w:p>
        </w:tc>
        <w:tc>
          <w:tcPr>
            <w:tcW w:w="1662" w:type="dxa"/>
            <w:gridSpan w:val="2"/>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p>
        </w:tc>
        <w:tc>
          <w:tcPr>
            <w:tcW w:w="1300" w:type="dxa"/>
            <w:gridSpan w:val="2"/>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电 话</w:t>
            </w:r>
          </w:p>
        </w:tc>
        <w:tc>
          <w:tcPr>
            <w:tcW w:w="2184" w:type="dxa"/>
            <w:gridSpan w:val="3"/>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E-mail</w:t>
            </w:r>
          </w:p>
        </w:tc>
        <w:tc>
          <w:tcPr>
            <w:tcW w:w="1762" w:type="dxa"/>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p>
        </w:tc>
      </w:tr>
      <w:tr w:rsidR="00DA3D54" w:rsidTr="00DA3D54">
        <w:trPr>
          <w:trHeight w:val="399"/>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序号</w:t>
            </w:r>
          </w:p>
        </w:tc>
        <w:tc>
          <w:tcPr>
            <w:tcW w:w="1133"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姓  名</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性别</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rsidR="00DA3D54" w:rsidRDefault="00DA3D54">
            <w:pPr>
              <w:adjustRightInd w:val="0"/>
              <w:snapToGrid w:val="0"/>
              <w:spacing w:line="340" w:lineRule="exact"/>
              <w:ind w:firstLineChars="50" w:firstLine="105"/>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部门/职务</w:t>
            </w:r>
          </w:p>
        </w:tc>
        <w:tc>
          <w:tcPr>
            <w:tcW w:w="1823" w:type="dxa"/>
            <w:tcBorders>
              <w:top w:val="single" w:sz="4" w:space="0" w:color="auto"/>
              <w:left w:val="single" w:sz="4" w:space="0" w:color="auto"/>
              <w:bottom w:val="single" w:sz="4" w:space="0" w:color="auto"/>
              <w:right w:val="single" w:sz="4" w:space="0" w:color="auto"/>
            </w:tcBorders>
            <w:vAlign w:val="center"/>
            <w:hideMark/>
          </w:tcPr>
          <w:p w:rsidR="00DA3D54" w:rsidRDefault="00DA3D54">
            <w:pPr>
              <w:adjustRightInd w:val="0"/>
              <w:snapToGrid w:val="0"/>
              <w:spacing w:line="340" w:lineRule="exact"/>
              <w:ind w:firstLineChars="200" w:firstLine="420"/>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联络手机</w:t>
            </w:r>
          </w:p>
        </w:tc>
        <w:tc>
          <w:tcPr>
            <w:tcW w:w="3304" w:type="dxa"/>
            <w:gridSpan w:val="3"/>
            <w:tcBorders>
              <w:top w:val="single" w:sz="4" w:space="0" w:color="auto"/>
              <w:left w:val="single" w:sz="4" w:space="0" w:color="auto"/>
              <w:bottom w:val="single" w:sz="4" w:space="0" w:color="auto"/>
              <w:right w:val="single" w:sz="4" w:space="0" w:color="auto"/>
            </w:tcBorders>
            <w:vAlign w:val="center"/>
            <w:hideMark/>
          </w:tcPr>
          <w:p w:rsidR="00DA3D54" w:rsidRDefault="00DA3D54">
            <w:pPr>
              <w:adjustRightInd w:val="0"/>
              <w:snapToGrid w:val="0"/>
              <w:spacing w:line="340" w:lineRule="exact"/>
              <w:ind w:firstLineChars="700" w:firstLine="1470"/>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E-mail</w:t>
            </w:r>
          </w:p>
        </w:tc>
      </w:tr>
      <w:tr w:rsidR="00DA3D54" w:rsidTr="00DA3D54">
        <w:trPr>
          <w:trHeight w:val="371"/>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1</w:t>
            </w:r>
          </w:p>
        </w:tc>
        <w:tc>
          <w:tcPr>
            <w:tcW w:w="1133" w:type="dxa"/>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p>
        </w:tc>
        <w:tc>
          <w:tcPr>
            <w:tcW w:w="1823" w:type="dxa"/>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p>
        </w:tc>
      </w:tr>
      <w:tr w:rsidR="00DA3D54" w:rsidTr="00DA3D54">
        <w:trPr>
          <w:trHeight w:val="399"/>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2</w:t>
            </w:r>
          </w:p>
        </w:tc>
        <w:tc>
          <w:tcPr>
            <w:tcW w:w="1133" w:type="dxa"/>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p>
        </w:tc>
        <w:tc>
          <w:tcPr>
            <w:tcW w:w="1823" w:type="dxa"/>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p>
        </w:tc>
      </w:tr>
      <w:tr w:rsidR="00DA3D54" w:rsidTr="00DA3D54">
        <w:trPr>
          <w:trHeight w:val="371"/>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3</w:t>
            </w:r>
          </w:p>
        </w:tc>
        <w:tc>
          <w:tcPr>
            <w:tcW w:w="1133" w:type="dxa"/>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p>
        </w:tc>
        <w:tc>
          <w:tcPr>
            <w:tcW w:w="1823" w:type="dxa"/>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bookmarkStart w:id="0" w:name="_GoBack"/>
            <w:bookmarkEnd w:id="0"/>
          </w:p>
        </w:tc>
        <w:tc>
          <w:tcPr>
            <w:tcW w:w="3304" w:type="dxa"/>
            <w:gridSpan w:val="3"/>
            <w:tcBorders>
              <w:top w:val="single" w:sz="4" w:space="0" w:color="auto"/>
              <w:left w:val="single" w:sz="4" w:space="0" w:color="auto"/>
              <w:bottom w:val="single" w:sz="4" w:space="0" w:color="auto"/>
              <w:right w:val="single" w:sz="4" w:space="0" w:color="auto"/>
            </w:tcBorders>
            <w:vAlign w:val="center"/>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p>
        </w:tc>
      </w:tr>
      <w:tr w:rsidR="00DA3D54" w:rsidTr="00DA3D54">
        <w:trPr>
          <w:trHeight w:val="371"/>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color w:val="000000" w:themeColor="text1"/>
                <w:kern w:val="0"/>
                <w:szCs w:val="21"/>
              </w:rPr>
            </w:pPr>
            <w:r>
              <w:rPr>
                <w:rFonts w:ascii="微软雅黑" w:eastAsia="微软雅黑" w:hAnsi="微软雅黑" w:hint="eastAsia"/>
                <w:b/>
                <w:color w:val="000000" w:themeColor="text1"/>
                <w:kern w:val="0"/>
                <w:szCs w:val="21"/>
              </w:rPr>
              <w:t>缴费方式</w:t>
            </w:r>
          </w:p>
        </w:tc>
        <w:tc>
          <w:tcPr>
            <w:tcW w:w="8122" w:type="dxa"/>
            <w:gridSpan w:val="9"/>
            <w:tcBorders>
              <w:top w:val="nil"/>
              <w:left w:val="single" w:sz="4" w:space="0" w:color="auto"/>
              <w:bottom w:val="single" w:sz="4" w:space="0" w:color="auto"/>
              <w:right w:val="single" w:sz="4" w:space="0" w:color="auto"/>
            </w:tcBorders>
            <w:vAlign w:val="center"/>
            <w:hideMark/>
          </w:tcPr>
          <w:p w:rsidR="00DA3D54" w:rsidRDefault="00DA3D54">
            <w:pPr>
              <w:spacing w:line="340" w:lineRule="exact"/>
              <w:rPr>
                <w:rFonts w:ascii="微软雅黑" w:eastAsia="微软雅黑" w:hAnsi="微软雅黑"/>
                <w:color w:val="000000" w:themeColor="text1"/>
                <w:kern w:val="0"/>
                <w:szCs w:val="21"/>
              </w:rPr>
            </w:pPr>
            <w:r>
              <w:rPr>
                <w:rFonts w:ascii="微软雅黑" w:eastAsia="微软雅黑" w:hAnsi="微软雅黑" w:hint="eastAsia"/>
                <w:color w:val="000000" w:themeColor="text1"/>
                <w:szCs w:val="21"/>
              </w:rPr>
              <w:t>□电汇 □现金 □支票 付款总金额</w:t>
            </w:r>
            <w:r>
              <w:rPr>
                <w:rFonts w:ascii="微软雅黑" w:eastAsia="微软雅黑" w:hAnsi="微软雅黑" w:hint="eastAsia"/>
                <w:color w:val="000000" w:themeColor="text1"/>
                <w:szCs w:val="21"/>
                <w:u w:val="single"/>
              </w:rPr>
              <w:t xml:space="preserve">：          </w:t>
            </w:r>
            <w:r>
              <w:rPr>
                <w:rFonts w:ascii="微软雅黑" w:eastAsia="微软雅黑" w:hAnsi="微软雅黑" w:hint="eastAsia"/>
                <w:color w:val="000000" w:themeColor="text1"/>
                <w:szCs w:val="21"/>
              </w:rPr>
              <w:t xml:space="preserve"> （培训费、资料、讲8义、合影、午餐、饮料、茶点）                                      </w:t>
            </w:r>
            <w:r>
              <w:rPr>
                <w:rFonts w:hint="eastAsia"/>
                <w:noProof/>
              </w:rPr>
              <w:drawing>
                <wp:anchor distT="0" distB="0" distL="114300" distR="114300" simplePos="0" relativeHeight="251658240" behindDoc="1" locked="0" layoutInCell="1" allowOverlap="1">
                  <wp:simplePos x="0" y="0"/>
                  <wp:positionH relativeFrom="column">
                    <wp:posOffset>3107690</wp:posOffset>
                  </wp:positionH>
                  <wp:positionV relativeFrom="paragraph">
                    <wp:posOffset>73025</wp:posOffset>
                  </wp:positionV>
                  <wp:extent cx="1543050" cy="145732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457325"/>
                          </a:xfrm>
                          <a:prstGeom prst="rect">
                            <a:avLst/>
                          </a:prstGeom>
                          <a:noFill/>
                        </pic:spPr>
                      </pic:pic>
                    </a:graphicData>
                  </a:graphic>
                  <wp14:sizeRelH relativeFrom="page">
                    <wp14:pctWidth>0</wp14:pctWidth>
                  </wp14:sizeRelH>
                  <wp14:sizeRelV relativeFrom="page">
                    <wp14:pctHeight>0</wp14:pctHeight>
                  </wp14:sizeRelV>
                </wp:anchor>
              </w:drawing>
            </w:r>
          </w:p>
        </w:tc>
      </w:tr>
      <w:tr w:rsidR="00DA3D54" w:rsidTr="00DA3D54">
        <w:trPr>
          <w:trHeight w:val="291"/>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b/>
                <w:color w:val="000000" w:themeColor="text1"/>
                <w:kern w:val="0"/>
                <w:szCs w:val="21"/>
              </w:rPr>
            </w:pPr>
            <w:r>
              <w:rPr>
                <w:rFonts w:ascii="微软雅黑" w:eastAsia="微软雅黑" w:hAnsi="微软雅黑" w:hint="eastAsia"/>
                <w:b/>
                <w:color w:val="000000" w:themeColor="text1"/>
                <w:kern w:val="0"/>
                <w:szCs w:val="21"/>
              </w:rPr>
              <w:t>住宿要求</w:t>
            </w:r>
          </w:p>
        </w:tc>
        <w:tc>
          <w:tcPr>
            <w:tcW w:w="8122" w:type="dxa"/>
            <w:gridSpan w:val="9"/>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r>
              <w:rPr>
                <w:rFonts w:ascii="微软雅黑" w:eastAsia="微软雅黑" w:hAnsi="微软雅黑" w:hint="eastAsia"/>
                <w:color w:val="000000" w:themeColor="text1"/>
                <w:kern w:val="0"/>
                <w:szCs w:val="21"/>
              </w:rPr>
              <w:t>预定：双人房</w:t>
            </w:r>
            <w:r>
              <w:rPr>
                <w:rFonts w:ascii="微软雅黑" w:eastAsia="微软雅黑" w:hAnsi="微软雅黑" w:hint="eastAsia"/>
                <w:color w:val="000000" w:themeColor="text1"/>
                <w:kern w:val="0"/>
                <w:szCs w:val="21"/>
                <w:u w:val="single"/>
              </w:rPr>
              <w:t>___</w:t>
            </w:r>
            <w:r>
              <w:rPr>
                <w:rFonts w:ascii="微软雅黑" w:eastAsia="微软雅黑" w:hAnsi="微软雅黑" w:hint="eastAsia"/>
                <w:color w:val="000000" w:themeColor="text1"/>
                <w:kern w:val="0"/>
                <w:szCs w:val="21"/>
              </w:rPr>
              <w:t>间；单人房</w:t>
            </w:r>
            <w:r>
              <w:rPr>
                <w:rFonts w:ascii="微软雅黑" w:eastAsia="微软雅黑" w:hAnsi="微软雅黑" w:hint="eastAsia"/>
                <w:color w:val="000000" w:themeColor="text1"/>
                <w:kern w:val="0"/>
                <w:szCs w:val="21"/>
                <w:u w:val="single"/>
              </w:rPr>
              <w:t>___</w:t>
            </w:r>
            <w:r>
              <w:rPr>
                <w:rFonts w:ascii="微软雅黑" w:eastAsia="微软雅黑" w:hAnsi="微软雅黑" w:hint="eastAsia"/>
                <w:color w:val="000000" w:themeColor="text1"/>
                <w:kern w:val="0"/>
                <w:szCs w:val="21"/>
              </w:rPr>
              <w:t>间，住宿时间：</w:t>
            </w:r>
            <w:r>
              <w:rPr>
                <w:rFonts w:ascii="微软雅黑" w:eastAsia="微软雅黑" w:hAnsi="微软雅黑" w:hint="eastAsia"/>
                <w:color w:val="000000" w:themeColor="text1"/>
                <w:kern w:val="0"/>
                <w:szCs w:val="21"/>
                <w:u w:val="single"/>
              </w:rPr>
              <w:t>__</w:t>
            </w:r>
            <w:r>
              <w:rPr>
                <w:rFonts w:ascii="微软雅黑" w:eastAsia="微软雅黑" w:hAnsi="微软雅黑" w:hint="eastAsia"/>
                <w:color w:val="000000" w:themeColor="text1"/>
                <w:kern w:val="0"/>
                <w:szCs w:val="21"/>
              </w:rPr>
              <w:t xml:space="preserve"> 月 </w:t>
            </w:r>
            <w:r>
              <w:rPr>
                <w:rFonts w:ascii="微软雅黑" w:eastAsia="微软雅黑" w:hAnsi="微软雅黑" w:hint="eastAsia"/>
                <w:color w:val="000000" w:themeColor="text1"/>
                <w:kern w:val="0"/>
                <w:szCs w:val="21"/>
                <w:u w:val="single"/>
              </w:rPr>
              <w:t>__</w:t>
            </w:r>
            <w:r>
              <w:rPr>
                <w:rFonts w:ascii="微软雅黑" w:eastAsia="微软雅黑" w:hAnsi="微软雅黑" w:hint="eastAsia"/>
                <w:color w:val="000000" w:themeColor="text1"/>
                <w:kern w:val="0"/>
                <w:szCs w:val="21"/>
              </w:rPr>
              <w:t xml:space="preserve"> 至 </w:t>
            </w:r>
            <w:r>
              <w:rPr>
                <w:rFonts w:ascii="微软雅黑" w:eastAsia="微软雅黑" w:hAnsi="微软雅黑" w:hint="eastAsia"/>
                <w:color w:val="000000" w:themeColor="text1"/>
                <w:kern w:val="0"/>
                <w:szCs w:val="21"/>
                <w:u w:val="single"/>
              </w:rPr>
              <w:t>__</w:t>
            </w:r>
            <w:r>
              <w:rPr>
                <w:rFonts w:ascii="微软雅黑" w:eastAsia="微软雅黑" w:hAnsi="微软雅黑" w:hint="eastAsia"/>
                <w:color w:val="000000" w:themeColor="text1"/>
                <w:kern w:val="0"/>
                <w:szCs w:val="21"/>
              </w:rPr>
              <w:t xml:space="preserve"> 日(不用预定请留空)</w:t>
            </w:r>
          </w:p>
        </w:tc>
      </w:tr>
      <w:tr w:rsidR="00DA3D54" w:rsidTr="00DA3D54">
        <w:trPr>
          <w:trHeight w:val="1363"/>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DA3D54" w:rsidRDefault="00DA3D54">
            <w:pPr>
              <w:widowControl/>
              <w:adjustRightInd w:val="0"/>
              <w:snapToGrid w:val="0"/>
              <w:spacing w:line="340" w:lineRule="exact"/>
              <w:jc w:val="center"/>
              <w:rPr>
                <w:rFonts w:ascii="微软雅黑" w:eastAsia="微软雅黑" w:hAnsi="微软雅黑"/>
                <w:b/>
                <w:color w:val="000000" w:themeColor="text1"/>
                <w:kern w:val="0"/>
                <w:szCs w:val="21"/>
              </w:rPr>
            </w:pPr>
            <w:r>
              <w:rPr>
                <w:rFonts w:ascii="微软雅黑" w:eastAsia="微软雅黑" w:hAnsi="微软雅黑" w:hint="eastAsia"/>
                <w:b/>
                <w:color w:val="000000" w:themeColor="text1"/>
                <w:szCs w:val="21"/>
              </w:rPr>
              <w:t>账户信息</w:t>
            </w:r>
          </w:p>
        </w:tc>
        <w:tc>
          <w:tcPr>
            <w:tcW w:w="8122" w:type="dxa"/>
            <w:gridSpan w:val="9"/>
            <w:tcBorders>
              <w:top w:val="single" w:sz="4" w:space="0" w:color="auto"/>
              <w:left w:val="single" w:sz="4" w:space="0" w:color="auto"/>
              <w:bottom w:val="single" w:sz="4" w:space="0" w:color="auto"/>
              <w:right w:val="single" w:sz="4" w:space="0" w:color="auto"/>
            </w:tcBorders>
            <w:hideMark/>
          </w:tcPr>
          <w:p w:rsidR="00DA3D54" w:rsidRDefault="00DA3D54">
            <w:pPr>
              <w:widowControl/>
              <w:adjustRightInd w:val="0"/>
              <w:snapToGrid w:val="0"/>
              <w:spacing w:line="340" w:lineRule="exact"/>
              <w:rPr>
                <w:rFonts w:ascii="微软雅黑" w:eastAsia="微软雅黑" w:hAnsi="微软雅黑"/>
                <w:color w:val="000000" w:themeColor="text1"/>
                <w:kern w:val="0"/>
                <w:szCs w:val="21"/>
              </w:rPr>
            </w:pPr>
            <w:r>
              <w:rPr>
                <w:rFonts w:ascii="微软雅黑" w:eastAsia="微软雅黑" w:hAnsi="微软雅黑" w:hint="eastAsia"/>
                <w:b/>
                <w:color w:val="000000" w:themeColor="text1"/>
                <w:kern w:val="0"/>
                <w:szCs w:val="21"/>
              </w:rPr>
              <w:t>培训费用：</w:t>
            </w:r>
            <w:r>
              <w:rPr>
                <w:rFonts w:ascii="微软雅黑" w:eastAsia="微软雅黑" w:hAnsi="微软雅黑" w:hint="eastAsia"/>
                <w:color w:val="000000" w:themeColor="text1"/>
                <w:kern w:val="0"/>
                <w:szCs w:val="21"/>
              </w:rPr>
              <w:t>￥</w:t>
            </w:r>
            <w:r>
              <w:rPr>
                <w:rFonts w:ascii="微软雅黑" w:eastAsia="微软雅黑" w:hAnsi="微软雅黑" w:hint="eastAsia"/>
                <w:color w:val="000000" w:themeColor="text1"/>
                <w:kern w:val="0"/>
                <w:szCs w:val="21"/>
                <w:u w:val="single"/>
              </w:rPr>
              <w:t xml:space="preserve">       </w:t>
            </w:r>
            <w:r>
              <w:rPr>
                <w:rFonts w:ascii="微软雅黑" w:eastAsia="微软雅黑" w:hAnsi="微软雅黑" w:hint="eastAsia"/>
                <w:color w:val="000000" w:themeColor="text1"/>
                <w:kern w:val="0"/>
                <w:szCs w:val="21"/>
              </w:rPr>
              <w:t>元 /人(含资料、讲义、结业证书、茶歇、午餐等)</w:t>
            </w:r>
          </w:p>
          <w:p w:rsidR="00DA3D54" w:rsidRDefault="00DA3D54">
            <w:pPr>
              <w:adjustRightInd w:val="0"/>
              <w:snapToGrid w:val="0"/>
              <w:spacing w:line="340" w:lineRule="exact"/>
              <w:rPr>
                <w:rFonts w:ascii="微软雅黑" w:eastAsia="微软雅黑" w:hAnsi="微软雅黑"/>
                <w:color w:val="000000" w:themeColor="text1"/>
                <w:kern w:val="0"/>
                <w:szCs w:val="21"/>
              </w:rPr>
            </w:pPr>
            <w:r>
              <w:rPr>
                <w:rFonts w:ascii="微软雅黑" w:eastAsia="微软雅黑" w:hAnsi="微软雅黑" w:hint="eastAsia"/>
                <w:color w:val="000000" w:themeColor="text1"/>
                <w:szCs w:val="21"/>
              </w:rPr>
              <w:t>开户名：西安世商管理咨询有限公司</w:t>
            </w:r>
          </w:p>
          <w:p w:rsidR="00DA3D54" w:rsidRDefault="00DA3D54">
            <w:pPr>
              <w:adjustRightInd w:val="0"/>
              <w:snapToGrid w:val="0"/>
              <w:spacing w:line="340" w:lineRule="exact"/>
              <w:rPr>
                <w:rFonts w:ascii="微软雅黑" w:eastAsia="微软雅黑" w:hAnsi="微软雅黑"/>
                <w:color w:val="000000" w:themeColor="text1"/>
                <w:kern w:val="18"/>
                <w:szCs w:val="21"/>
              </w:rPr>
            </w:pPr>
            <w:r>
              <w:rPr>
                <w:rFonts w:ascii="微软雅黑" w:eastAsia="微软雅黑" w:hAnsi="微软雅黑" w:hint="eastAsia"/>
                <w:color w:val="000000" w:themeColor="text1"/>
                <w:szCs w:val="21"/>
              </w:rPr>
              <w:t>开户行：华夏银行西安经济技术开发区支行</w:t>
            </w:r>
          </w:p>
          <w:p w:rsidR="00DA3D54" w:rsidRDefault="00DA3D54">
            <w:pPr>
              <w:spacing w:line="340" w:lineRule="exact"/>
              <w:rPr>
                <w:rFonts w:ascii="微软雅黑" w:eastAsia="微软雅黑" w:hAnsi="微软雅黑"/>
                <w:color w:val="000000" w:themeColor="text1"/>
                <w:kern w:val="0"/>
                <w:szCs w:val="21"/>
              </w:rPr>
            </w:pPr>
            <w:r>
              <w:rPr>
                <w:rFonts w:ascii="微软雅黑" w:eastAsia="微软雅黑" w:hAnsi="微软雅黑" w:hint="eastAsia"/>
                <w:color w:val="000000" w:themeColor="text1"/>
                <w:szCs w:val="21"/>
              </w:rPr>
              <w:t>账  户：5631 2000 0181 0200 0181 35</w:t>
            </w:r>
          </w:p>
        </w:tc>
      </w:tr>
    </w:tbl>
    <w:p w:rsidR="00DA3D54" w:rsidRDefault="00DA3D54" w:rsidP="00DA3D54">
      <w:pPr>
        <w:spacing w:line="320" w:lineRule="exact"/>
        <w:ind w:firstLineChars="442" w:firstLine="928"/>
        <w:rPr>
          <w:rFonts w:ascii="微软雅黑 Light" w:eastAsia="微软雅黑 Light" w:hAnsi="微软雅黑 Light" w:cs="Times New Roman"/>
          <w:color w:val="000000" w:themeColor="text1"/>
          <w:kern w:val="18"/>
          <w:szCs w:val="21"/>
        </w:rPr>
      </w:pPr>
    </w:p>
    <w:p w:rsidR="001D4336" w:rsidRPr="004A583F" w:rsidRDefault="001D4336" w:rsidP="004A583F">
      <w:pPr>
        <w:snapToGrid w:val="0"/>
        <w:rPr>
          <w:rFonts w:ascii="微软雅黑" w:eastAsia="微软雅黑" w:hAnsi="微软雅黑"/>
        </w:rPr>
      </w:pPr>
    </w:p>
    <w:sectPr w:rsidR="001D4336" w:rsidRPr="004A58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929" w:rsidRDefault="00D12929" w:rsidP="00931336">
      <w:r>
        <w:separator/>
      </w:r>
    </w:p>
  </w:endnote>
  <w:endnote w:type="continuationSeparator" w:id="0">
    <w:p w:rsidR="00D12929" w:rsidRDefault="00D12929" w:rsidP="0093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微软雅黑 Light">
    <w:panose1 w:val="020B0502040204020203"/>
    <w:charset w:val="86"/>
    <w:family w:val="swiss"/>
    <w:pitch w:val="variable"/>
    <w:sig w:usb0="A00002BF" w:usb1="28CF001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929" w:rsidRDefault="00D12929" w:rsidP="00931336">
      <w:r>
        <w:separator/>
      </w:r>
    </w:p>
  </w:footnote>
  <w:footnote w:type="continuationSeparator" w:id="0">
    <w:p w:rsidR="00D12929" w:rsidRDefault="00D12929" w:rsidP="00931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C9"/>
    <w:rsid w:val="001D4336"/>
    <w:rsid w:val="002C1A2D"/>
    <w:rsid w:val="003924B5"/>
    <w:rsid w:val="003F4E85"/>
    <w:rsid w:val="004A583F"/>
    <w:rsid w:val="00583AC9"/>
    <w:rsid w:val="00685646"/>
    <w:rsid w:val="007F5A57"/>
    <w:rsid w:val="0089727F"/>
    <w:rsid w:val="008B08E0"/>
    <w:rsid w:val="00931336"/>
    <w:rsid w:val="009B43F5"/>
    <w:rsid w:val="00A12481"/>
    <w:rsid w:val="00B12DD5"/>
    <w:rsid w:val="00BB46BC"/>
    <w:rsid w:val="00CB101D"/>
    <w:rsid w:val="00D12929"/>
    <w:rsid w:val="00DA3D54"/>
    <w:rsid w:val="00E51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6014AE-7725-4037-A6E9-4711EB20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43F5"/>
    <w:rPr>
      <w:color w:val="0563C1" w:themeColor="hyperlink"/>
      <w:u w:val="single"/>
    </w:rPr>
  </w:style>
  <w:style w:type="paragraph" w:styleId="a4">
    <w:name w:val="header"/>
    <w:basedOn w:val="a"/>
    <w:link w:val="Char"/>
    <w:uiPriority w:val="99"/>
    <w:unhideWhenUsed/>
    <w:rsid w:val="009313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31336"/>
    <w:rPr>
      <w:sz w:val="18"/>
      <w:szCs w:val="18"/>
    </w:rPr>
  </w:style>
  <w:style w:type="paragraph" w:styleId="a5">
    <w:name w:val="footer"/>
    <w:basedOn w:val="a"/>
    <w:link w:val="Char0"/>
    <w:uiPriority w:val="99"/>
    <w:unhideWhenUsed/>
    <w:rsid w:val="00931336"/>
    <w:pPr>
      <w:tabs>
        <w:tab w:val="center" w:pos="4153"/>
        <w:tab w:val="right" w:pos="8306"/>
      </w:tabs>
      <w:snapToGrid w:val="0"/>
      <w:jc w:val="left"/>
    </w:pPr>
    <w:rPr>
      <w:sz w:val="18"/>
      <w:szCs w:val="18"/>
    </w:rPr>
  </w:style>
  <w:style w:type="character" w:customStyle="1" w:styleId="Char0">
    <w:name w:val="页脚 Char"/>
    <w:basedOn w:val="a0"/>
    <w:link w:val="a5"/>
    <w:uiPriority w:val="99"/>
    <w:rsid w:val="009313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3476">
      <w:bodyDiv w:val="1"/>
      <w:marLeft w:val="0"/>
      <w:marRight w:val="0"/>
      <w:marTop w:val="0"/>
      <w:marBottom w:val="0"/>
      <w:divBdr>
        <w:top w:val="none" w:sz="0" w:space="0" w:color="auto"/>
        <w:left w:val="none" w:sz="0" w:space="0" w:color="auto"/>
        <w:bottom w:val="none" w:sz="0" w:space="0" w:color="auto"/>
        <w:right w:val="none" w:sz="0" w:space="0" w:color="auto"/>
      </w:divBdr>
    </w:div>
    <w:div w:id="269433967">
      <w:bodyDiv w:val="1"/>
      <w:marLeft w:val="0"/>
      <w:marRight w:val="0"/>
      <w:marTop w:val="0"/>
      <w:marBottom w:val="0"/>
      <w:divBdr>
        <w:top w:val="none" w:sz="0" w:space="0" w:color="auto"/>
        <w:left w:val="none" w:sz="0" w:space="0" w:color="auto"/>
        <w:bottom w:val="none" w:sz="0" w:space="0" w:color="auto"/>
        <w:right w:val="none" w:sz="0" w:space="0" w:color="auto"/>
      </w:divBdr>
    </w:div>
    <w:div w:id="829834374">
      <w:bodyDiv w:val="1"/>
      <w:marLeft w:val="0"/>
      <w:marRight w:val="0"/>
      <w:marTop w:val="0"/>
      <w:marBottom w:val="0"/>
      <w:divBdr>
        <w:top w:val="none" w:sz="0" w:space="0" w:color="auto"/>
        <w:left w:val="none" w:sz="0" w:space="0" w:color="auto"/>
        <w:bottom w:val="none" w:sz="0" w:space="0" w:color="auto"/>
        <w:right w:val="none" w:sz="0" w:space="0" w:color="auto"/>
      </w:divBdr>
    </w:div>
    <w:div w:id="1494026715">
      <w:bodyDiv w:val="1"/>
      <w:marLeft w:val="0"/>
      <w:marRight w:val="0"/>
      <w:marTop w:val="0"/>
      <w:marBottom w:val="0"/>
      <w:divBdr>
        <w:top w:val="none" w:sz="0" w:space="0" w:color="auto"/>
        <w:left w:val="none" w:sz="0" w:space="0" w:color="auto"/>
        <w:bottom w:val="none" w:sz="0" w:space="0" w:color="auto"/>
        <w:right w:val="none" w:sz="0" w:space="0" w:color="auto"/>
      </w:divBdr>
    </w:div>
    <w:div w:id="1765496612">
      <w:bodyDiv w:val="1"/>
      <w:marLeft w:val="0"/>
      <w:marRight w:val="0"/>
      <w:marTop w:val="0"/>
      <w:marBottom w:val="0"/>
      <w:divBdr>
        <w:top w:val="none" w:sz="0" w:space="0" w:color="auto"/>
        <w:left w:val="none" w:sz="0" w:space="0" w:color="auto"/>
        <w:bottom w:val="none" w:sz="0" w:space="0" w:color="auto"/>
        <w:right w:val="none" w:sz="0" w:space="0" w:color="auto"/>
      </w:divBdr>
      <w:divsChild>
        <w:div w:id="2087528904">
          <w:marLeft w:val="0"/>
          <w:marRight w:val="0"/>
          <w:marTop w:val="0"/>
          <w:marBottom w:val="0"/>
          <w:divBdr>
            <w:top w:val="none" w:sz="0" w:space="0" w:color="auto"/>
            <w:left w:val="none" w:sz="0" w:space="0" w:color="auto"/>
            <w:bottom w:val="none" w:sz="0" w:space="0" w:color="auto"/>
            <w:right w:val="none" w:sz="0" w:space="0" w:color="auto"/>
          </w:divBdr>
          <w:divsChild>
            <w:div w:id="701789409">
              <w:marLeft w:val="0"/>
              <w:marRight w:val="0"/>
              <w:marTop w:val="0"/>
              <w:marBottom w:val="0"/>
              <w:divBdr>
                <w:top w:val="none" w:sz="0" w:space="0" w:color="auto"/>
                <w:left w:val="none" w:sz="0" w:space="0" w:color="auto"/>
                <w:bottom w:val="none" w:sz="0" w:space="0" w:color="auto"/>
                <w:right w:val="none" w:sz="0" w:space="0" w:color="auto"/>
              </w:divBdr>
              <w:divsChild>
                <w:div w:id="1021930371">
                  <w:marLeft w:val="0"/>
                  <w:marRight w:val="0"/>
                  <w:marTop w:val="0"/>
                  <w:marBottom w:val="0"/>
                  <w:divBdr>
                    <w:top w:val="none" w:sz="0" w:space="0" w:color="auto"/>
                    <w:left w:val="none" w:sz="0" w:space="0" w:color="auto"/>
                    <w:bottom w:val="none" w:sz="0" w:space="0" w:color="auto"/>
                    <w:right w:val="none" w:sz="0" w:space="0" w:color="auto"/>
                  </w:divBdr>
                  <w:divsChild>
                    <w:div w:id="1011028815">
                      <w:marLeft w:val="0"/>
                      <w:marRight w:val="0"/>
                      <w:marTop w:val="0"/>
                      <w:marBottom w:val="0"/>
                      <w:divBdr>
                        <w:top w:val="none" w:sz="0" w:space="0" w:color="auto"/>
                        <w:left w:val="none" w:sz="0" w:space="0" w:color="auto"/>
                        <w:bottom w:val="none" w:sz="0" w:space="0" w:color="auto"/>
                        <w:right w:val="none" w:sz="0" w:space="0" w:color="auto"/>
                      </w:divBdr>
                      <w:divsChild>
                        <w:div w:id="301426123">
                          <w:marLeft w:val="0"/>
                          <w:marRight w:val="0"/>
                          <w:marTop w:val="0"/>
                          <w:marBottom w:val="0"/>
                          <w:divBdr>
                            <w:top w:val="single" w:sz="2" w:space="0" w:color="auto"/>
                            <w:left w:val="single" w:sz="2" w:space="0" w:color="auto"/>
                            <w:bottom w:val="single" w:sz="2" w:space="0" w:color="auto"/>
                            <w:right w:val="single" w:sz="2" w:space="0" w:color="auto"/>
                          </w:divBdr>
                          <w:divsChild>
                            <w:div w:id="654645594">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sChild>
                                    <w:div w:id="10737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tt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西安世商管理-wtt6.com</dc:creator>
  <cp:keywords/>
  <dc:description/>
  <cp:lastModifiedBy>binbin gaobin001</cp:lastModifiedBy>
  <cp:revision>2</cp:revision>
  <dcterms:created xsi:type="dcterms:W3CDTF">2015-12-04T03:18:00Z</dcterms:created>
  <dcterms:modified xsi:type="dcterms:W3CDTF">2015-12-04T03:18:00Z</dcterms:modified>
</cp:coreProperties>
</file>